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B5C" w:rsidRDefault="009E3B5C" w:rsidP="009E3B5C">
      <w:pPr>
        <w:rPr>
          <w:b/>
        </w:rPr>
      </w:pPr>
      <w:r w:rsidRPr="007F2E57">
        <w:rPr>
          <w:b/>
        </w:rPr>
        <w:t>Transacción pase Pinto</w:t>
      </w:r>
    </w:p>
    <w:p w:rsidR="007F2E57" w:rsidRPr="007F2E57" w:rsidRDefault="007F2E57" w:rsidP="009E3B5C">
      <w:pPr>
        <w:rPr>
          <w:b/>
        </w:rPr>
      </w:pPr>
      <w:bookmarkStart w:id="0" w:name="_GoBack"/>
      <w:bookmarkEnd w:id="0"/>
    </w:p>
    <w:p w:rsidR="009E3B5C" w:rsidRDefault="009E3B5C" w:rsidP="009E3B5C">
      <w:r>
        <w:t xml:space="preserve">El código del título es </w:t>
      </w:r>
    </w:p>
    <w:tbl>
      <w:tblPr>
        <w:tblW w:w="849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4"/>
        <w:gridCol w:w="2396"/>
      </w:tblGrid>
      <w:tr w:rsidR="009E3B5C" w:rsidTr="009E3B5C">
        <w:trPr>
          <w:jc w:val="center"/>
        </w:trPr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PASE MUNICIPAL PINTO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</w:tr>
    </w:tbl>
    <w:p w:rsidR="009E3B5C" w:rsidRDefault="009E3B5C" w:rsidP="009E3B5C"/>
    <w:p w:rsidR="009E3B5C" w:rsidRDefault="009E3B5C" w:rsidP="009E3B5C">
      <w:r>
        <w:rPr>
          <w:b/>
          <w:bCs/>
        </w:rPr>
        <w:t>La transacción tendrá la apariencia y longitud de una transacción de validación común</w:t>
      </w:r>
      <w:r>
        <w:t xml:space="preserve"> véase la transacción de validación de autobuses interurbanos (abajo</w:t>
      </w:r>
      <w:proofErr w:type="gramStart"/>
      <w:r>
        <w:t>) ,</w:t>
      </w:r>
      <w:proofErr w:type="gramEnd"/>
      <w:r>
        <w:t xml:space="preserve"> pero será empaquetada en un TLV diferente que tendrá el nemónico PAS. El código del TLV también será diferente, cuando tengáis montada la </w:t>
      </w:r>
      <w:proofErr w:type="gramStart"/>
      <w:r>
        <w:t>transacción ,</w:t>
      </w:r>
      <w:proofErr w:type="gramEnd"/>
      <w:r>
        <w:t xml:space="preserve"> me lo decís y os damos el código del TLV.</w:t>
      </w:r>
    </w:p>
    <w:p w:rsidR="009E3B5C" w:rsidRDefault="009E3B5C" w:rsidP="009E3B5C">
      <w:pPr>
        <w:rPr>
          <w:color w:val="2E75B6"/>
        </w:rPr>
      </w:pPr>
    </w:p>
    <w:p w:rsidR="009E3B5C" w:rsidRDefault="009E3B5C" w:rsidP="009E3B5C">
      <w:r>
        <w:rPr>
          <w:color w:val="2E75B6"/>
        </w:rPr>
        <w:t xml:space="preserve">En azul marcamos los campos que deben contener información obligatoriamente </w:t>
      </w:r>
      <w:r>
        <w:t>el resto de campos podéis rellenarlos con “</w:t>
      </w:r>
      <w:proofErr w:type="gramStart"/>
      <w:r>
        <w:t>FF”  byte</w:t>
      </w:r>
      <w:proofErr w:type="gramEnd"/>
      <w:r>
        <w:t xml:space="preserve"> a byte.</w:t>
      </w:r>
    </w:p>
    <w:p w:rsidR="009E3B5C" w:rsidRDefault="009E3B5C" w:rsidP="009E3B5C"/>
    <w:p w:rsidR="009E3B5C" w:rsidRDefault="009E3B5C" w:rsidP="009E3B5C">
      <w:r>
        <w:t xml:space="preserve">En el número de serie de la tarjeta utilizareis un numero ficticio en todas las transacciones que será el </w:t>
      </w:r>
      <w:proofErr w:type="gramStart"/>
      <w:r>
        <w:t>“ DDDDDDDDDDDDDD</w:t>
      </w:r>
      <w:proofErr w:type="gramEnd"/>
      <w:r>
        <w:t>”</w:t>
      </w:r>
    </w:p>
    <w:p w:rsidR="009E3B5C" w:rsidRDefault="009E3B5C" w:rsidP="009E3B5C"/>
    <w:tbl>
      <w:tblPr>
        <w:tblW w:w="4900" w:type="pct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"/>
        <w:gridCol w:w="2689"/>
        <w:gridCol w:w="1411"/>
        <w:gridCol w:w="2427"/>
        <w:gridCol w:w="860"/>
      </w:tblGrid>
      <w:tr w:rsidR="009E3B5C" w:rsidTr="009E3B5C">
        <w:trPr>
          <w:tblHeader/>
        </w:trPr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</w:t>
            </w:r>
          </w:p>
        </w:tc>
        <w:tc>
          <w:tcPr>
            <w:tcW w:w="7637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0XC1</w:t>
            </w:r>
          </w:p>
        </w:tc>
        <w:tc>
          <w:tcPr>
            <w:tcW w:w="1701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Registro de datos de validación</w:t>
            </w:r>
          </w:p>
        </w:tc>
      </w:tr>
      <w:tr w:rsidR="009E3B5C" w:rsidTr="009E3B5C">
        <w:trPr>
          <w:tblHeader/>
        </w:trPr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Longitud</w:t>
            </w:r>
          </w:p>
        </w:tc>
        <w:tc>
          <w:tcPr>
            <w:tcW w:w="24655" w:type="dxa"/>
            <w:gridSpan w:val="4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 Bytes</w:t>
            </w:r>
          </w:p>
        </w:tc>
      </w:tr>
      <w:tr w:rsidR="009E3B5C" w:rsidTr="009E3B5C">
        <w:trPr>
          <w:tblHeader/>
        </w:trPr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Identificador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Tamaño (Bytes)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1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 xml:space="preserve">Número único de la transacción que se compone del número único de la tarjeta </w:t>
            </w:r>
            <w:proofErr w:type="spellStart"/>
            <w:r>
              <w:rPr>
                <w:b/>
                <w:bCs/>
                <w:color w:val="4472C4"/>
                <w:sz w:val="16"/>
                <w:szCs w:val="16"/>
              </w:rPr>
              <w:t>SerialNumber</w:t>
            </w:r>
            <w:proofErr w:type="spellEnd"/>
            <w:r>
              <w:rPr>
                <w:color w:val="4472C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el valor del contador de eventos de la tarjeta </w:t>
            </w:r>
            <w:proofErr w:type="spellStart"/>
            <w:r>
              <w:rPr>
                <w:b/>
                <w:bCs/>
                <w:sz w:val="16"/>
                <w:szCs w:val="16"/>
              </w:rPr>
              <w:t>AccessEventCounter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SerialNumber+AccessEventCounter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dSerialNumber+entero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+ 4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2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Fecha de la transacción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dDate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3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Hora de la transacción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dShortTime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4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Punto de acceso (datos individuales del validador y del operador)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dPayPoint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5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 xml:space="preserve">Título (abono, </w:t>
            </w:r>
            <w:proofErr w:type="spellStart"/>
            <w:r>
              <w:rPr>
                <w:color w:val="4472C4"/>
                <w:sz w:val="16"/>
                <w:szCs w:val="16"/>
              </w:rPr>
              <w:t>multiviaje</w:t>
            </w:r>
            <w:proofErr w:type="spellEnd"/>
            <w:r>
              <w:rPr>
                <w:color w:val="4472C4"/>
                <w:sz w:val="16"/>
                <w:szCs w:val="16"/>
              </w:rPr>
              <w:t xml:space="preserve"> etc.) utilizado para la validación </w:t>
            </w:r>
            <w:proofErr w:type="spellStart"/>
            <w:r>
              <w:rPr>
                <w:b/>
                <w:bCs/>
                <w:color w:val="4472C4"/>
                <w:sz w:val="16"/>
                <w:szCs w:val="16"/>
              </w:rPr>
              <w:t>ContractCode</w:t>
            </w:r>
            <w:proofErr w:type="spellEnd"/>
            <w:r>
              <w:rPr>
                <w:color w:val="4472C4"/>
                <w:sz w:val="16"/>
                <w:szCs w:val="16"/>
              </w:rPr>
              <w:t xml:space="preserve"> y </w:t>
            </w:r>
            <w:r>
              <w:rPr>
                <w:sz w:val="16"/>
                <w:szCs w:val="16"/>
              </w:rPr>
              <w:t xml:space="preserve">el código de la empresa propietaria del título </w:t>
            </w:r>
            <w:proofErr w:type="spellStart"/>
            <w:r>
              <w:rPr>
                <w:b/>
                <w:bCs/>
                <w:sz w:val="16"/>
                <w:szCs w:val="16"/>
              </w:rPr>
              <w:t>ContactCompanyProprietary</w:t>
            </w:r>
            <w:proofErr w:type="spellEnd"/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dContract+dCompany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2+1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Perfil del título usado en la validación </w:t>
            </w:r>
            <w:proofErr w:type="spellStart"/>
            <w:r>
              <w:rPr>
                <w:b/>
                <w:bCs/>
                <w:sz w:val="16"/>
                <w:szCs w:val="16"/>
              </w:rPr>
              <w:t>ContractUserProfileType</w:t>
            </w:r>
            <w:proofErr w:type="spellEnd"/>
            <w:r>
              <w:rPr>
                <w:sz w:val="16"/>
                <w:szCs w:val="16"/>
              </w:rPr>
              <w:t xml:space="preserve"> y la empresa propietaria </w:t>
            </w:r>
            <w:proofErr w:type="spellStart"/>
            <w:r>
              <w:rPr>
                <w:sz w:val="16"/>
                <w:szCs w:val="16"/>
              </w:rPr>
              <w:t>de el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ContractUserProfileProprietaryCompany</w:t>
            </w:r>
            <w:proofErr w:type="spellEnd"/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spacing w:befor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dUserProfileType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dCompany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1+1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Colectivo </w:t>
            </w:r>
            <w:proofErr w:type="spellStart"/>
            <w:r>
              <w:rPr>
                <w:b/>
                <w:bCs/>
                <w:sz w:val="16"/>
                <w:szCs w:val="16"/>
              </w:rPr>
              <w:t>UserGroup</w:t>
            </w:r>
            <w:proofErr w:type="spellEnd"/>
            <w:r>
              <w:rPr>
                <w:sz w:val="16"/>
                <w:szCs w:val="16"/>
              </w:rPr>
              <w:t xml:space="preserve"> utilizado durante la validación 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dGroup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Número de serie del SAM del terminal que se compró el título que se usó durante la validación actual + </w:t>
            </w:r>
            <w:r>
              <w:rPr>
                <w:color w:val="4472C4"/>
                <w:sz w:val="16"/>
                <w:szCs w:val="16"/>
              </w:rPr>
              <w:t>Número de serie del SAM del validador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 + 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3+3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Contador de transacciones del validador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Resultado de transacción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Versión lista de tarjetas no permitidas simple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Versión lista tarjetas no permitidas de rangos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Número de expedición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la venta (carga o recarga) del título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dDate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la primera validación del título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dDate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Versión de software</w:t>
            </w:r>
            <w:r>
              <w:rPr>
                <w:sz w:val="16"/>
                <w:szCs w:val="16"/>
              </w:rPr>
              <w:t xml:space="preserve"> cargado en el terminal.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del integrador</w:t>
            </w:r>
            <w:r>
              <w:rPr>
                <w:sz w:val="16"/>
                <w:szCs w:val="16"/>
              </w:rPr>
              <w:t xml:space="preserve"> que ha desarrollado el software.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dCompany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Uso de carga/recarga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dUseChargeRecharge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Viajes que restan (solo aplica en títulos </w:t>
            </w:r>
            <w:proofErr w:type="spellStart"/>
            <w:r>
              <w:rPr>
                <w:sz w:val="16"/>
                <w:szCs w:val="16"/>
              </w:rPr>
              <w:t>multiviaje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AccessEventTransQty</w:t>
            </w:r>
            <w:proofErr w:type="spellEnd"/>
            <w:r>
              <w:rPr>
                <w:sz w:val="16"/>
                <w:szCs w:val="16"/>
              </w:rPr>
              <w:t xml:space="preserve"> (trasbordo)  y </w:t>
            </w:r>
            <w:proofErr w:type="spellStart"/>
            <w:r>
              <w:rPr>
                <w:sz w:val="16"/>
                <w:szCs w:val="16"/>
              </w:rPr>
              <w:t>AccessEventUserQty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numero</w:t>
            </w:r>
            <w:proofErr w:type="spellEnd"/>
            <w:r>
              <w:rPr>
                <w:sz w:val="16"/>
                <w:szCs w:val="16"/>
              </w:rPr>
              <w:t xml:space="preserve"> de viajero)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1+1</w:t>
            </w:r>
          </w:p>
        </w:tc>
      </w:tr>
      <w:tr w:rsidR="009E3B5C" w:rsidTr="009E3B5C">
        <w:tc>
          <w:tcPr>
            <w:tcW w:w="279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21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Firma digital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9E3B5C" w:rsidRDefault="009E3B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9E3B5C" w:rsidTr="009E3B5C">
        <w:tc>
          <w:tcPr>
            <w:tcW w:w="1125" w:type="dxa"/>
            <w:vAlign w:val="center"/>
            <w:hideMark/>
          </w:tcPr>
          <w:p w:rsidR="009E3B5C" w:rsidRDefault="009E3B5C">
            <w:pPr>
              <w:rPr>
                <w:sz w:val="16"/>
                <w:szCs w:val="16"/>
              </w:rPr>
            </w:pPr>
          </w:p>
        </w:tc>
        <w:tc>
          <w:tcPr>
            <w:tcW w:w="3225" w:type="dxa"/>
            <w:vAlign w:val="center"/>
            <w:hideMark/>
          </w:tcPr>
          <w:p w:rsidR="009E3B5C" w:rsidRDefault="009E3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965" w:type="dxa"/>
            <w:vAlign w:val="center"/>
            <w:hideMark/>
          </w:tcPr>
          <w:p w:rsidR="009E3B5C" w:rsidRDefault="009E3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030" w:type="dxa"/>
            <w:vAlign w:val="center"/>
            <w:hideMark/>
          </w:tcPr>
          <w:p w:rsidR="009E3B5C" w:rsidRDefault="009E3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50" w:type="dxa"/>
            <w:vAlign w:val="center"/>
            <w:hideMark/>
          </w:tcPr>
          <w:p w:rsidR="009E3B5C" w:rsidRDefault="009E3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297490" w:rsidRDefault="007F2E57"/>
    <w:sectPr w:rsidR="002974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B5C"/>
    <w:rsid w:val="0004340C"/>
    <w:rsid w:val="00703E13"/>
    <w:rsid w:val="007F2E57"/>
    <w:rsid w:val="009E3B5C"/>
    <w:rsid w:val="009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B4BCF"/>
  <w15:chartTrackingRefBased/>
  <w15:docId w15:val="{F2C2AB9F-2D51-4A0A-A853-ECD0D7F1C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B5C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E3B5C"/>
    <w:pPr>
      <w:spacing w:before="120" w:after="120" w:line="288" w:lineRule="auto"/>
      <w:jc w:val="both"/>
    </w:pPr>
    <w:rPr>
      <w:rFonts w:ascii="Tahoma" w:hAnsi="Tahoma" w:cs="Tahoma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E3B5C"/>
    <w:rPr>
      <w:rFonts w:ascii="Tahoma" w:hAnsi="Tahoma" w:cs="Tahoma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B1FD7B-F8F9-431B-9F29-54A05FCE7394}"/>
</file>

<file path=customXml/itemProps2.xml><?xml version="1.0" encoding="utf-8"?>
<ds:datastoreItem xmlns:ds="http://schemas.openxmlformats.org/officeDocument/2006/customXml" ds:itemID="{A50C563E-B219-4B32-A2B0-CA54B1399235}"/>
</file>

<file path=customXml/itemProps3.xml><?xml version="1.0" encoding="utf-8"?>
<ds:datastoreItem xmlns:ds="http://schemas.openxmlformats.org/officeDocument/2006/customXml" ds:itemID="{9DFC465A-6861-4239-92C4-00E2B34C75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FARIÑAS, MARIA AMOR</dc:creator>
  <cp:keywords/>
  <dc:description/>
  <cp:lastModifiedBy>LEON FARIÑAS, MARIA AMOR</cp:lastModifiedBy>
  <cp:revision>2</cp:revision>
  <dcterms:created xsi:type="dcterms:W3CDTF">2019-03-20T12:25:00Z</dcterms:created>
  <dcterms:modified xsi:type="dcterms:W3CDTF">2019-03-20T12:28:00Z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